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09C3" w14:textId="47777729" w:rsidR="00146B9B" w:rsidRDefault="00146B9B" w:rsidP="00146B9B">
      <w:pPr>
        <w:spacing w:line="276" w:lineRule="auto"/>
        <w:jc w:val="center"/>
        <w:rPr>
          <w:rFonts w:asciiTheme="minorHAnsi" w:hAnsiTheme="minorHAnsi" w:cstheme="minorHAnsi"/>
          <w:b/>
          <w:sz w:val="18"/>
          <w:szCs w:val="18"/>
        </w:rPr>
      </w:pPr>
      <w:r>
        <w:rPr>
          <w:rFonts w:asciiTheme="minorHAnsi" w:hAnsiTheme="minorHAnsi" w:cstheme="minorHAnsi"/>
          <w:b/>
          <w:noProof/>
          <w:sz w:val="18"/>
          <w:szCs w:val="18"/>
          <w14:ligatures w14:val="standardContextual"/>
        </w:rPr>
        <w:drawing>
          <wp:inline distT="0" distB="0" distL="0" distR="0" wp14:anchorId="4D233CBB" wp14:editId="61132B27">
            <wp:extent cx="1847850" cy="1538715"/>
            <wp:effectExtent l="0" t="0" r="0" b="4445"/>
            <wp:docPr id="196659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599151" name="Picture 196659915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0979" cy="1549648"/>
                    </a:xfrm>
                    <a:prstGeom prst="rect">
                      <a:avLst/>
                    </a:prstGeom>
                  </pic:spPr>
                </pic:pic>
              </a:graphicData>
            </a:graphic>
          </wp:inline>
        </w:drawing>
      </w:r>
    </w:p>
    <w:p w14:paraId="0E2F768E" w14:textId="77777777" w:rsidR="000E0708" w:rsidRDefault="000E0708" w:rsidP="00146B9B">
      <w:pPr>
        <w:spacing w:line="276" w:lineRule="auto"/>
        <w:jc w:val="center"/>
        <w:rPr>
          <w:rFonts w:asciiTheme="minorHAnsi" w:hAnsiTheme="minorHAnsi" w:cstheme="minorHAnsi"/>
          <w:b/>
          <w:sz w:val="32"/>
          <w:szCs w:val="32"/>
        </w:rPr>
      </w:pPr>
    </w:p>
    <w:p w14:paraId="49C21A91" w14:textId="4B36BE4D" w:rsidR="00146B9B" w:rsidRPr="00146B9B" w:rsidRDefault="00146B9B" w:rsidP="00146B9B">
      <w:pPr>
        <w:spacing w:line="276" w:lineRule="auto"/>
        <w:jc w:val="center"/>
        <w:rPr>
          <w:rFonts w:asciiTheme="minorHAnsi" w:hAnsiTheme="minorHAnsi" w:cstheme="minorHAnsi"/>
          <w:b/>
          <w:sz w:val="32"/>
          <w:szCs w:val="32"/>
        </w:rPr>
      </w:pPr>
      <w:r w:rsidRPr="00146B9B">
        <w:rPr>
          <w:rFonts w:asciiTheme="minorHAnsi" w:hAnsiTheme="minorHAnsi" w:cstheme="minorHAnsi"/>
          <w:b/>
          <w:sz w:val="32"/>
          <w:szCs w:val="32"/>
        </w:rPr>
        <w:t>Commencement statement of work</w:t>
      </w:r>
    </w:p>
    <w:p w14:paraId="043AC992" w14:textId="77777777" w:rsidR="00146B9B" w:rsidRDefault="00146B9B" w:rsidP="002C578D">
      <w:pPr>
        <w:spacing w:line="276" w:lineRule="auto"/>
        <w:rPr>
          <w:rFonts w:asciiTheme="minorHAnsi" w:hAnsiTheme="minorHAnsi" w:cstheme="minorHAnsi"/>
          <w:b/>
          <w:sz w:val="18"/>
          <w:szCs w:val="18"/>
        </w:rPr>
      </w:pPr>
    </w:p>
    <w:p w14:paraId="0C124C90" w14:textId="396F7726" w:rsidR="002C578D" w:rsidRPr="000E0708" w:rsidRDefault="002C578D" w:rsidP="002C578D">
      <w:pPr>
        <w:spacing w:line="276" w:lineRule="auto"/>
        <w:rPr>
          <w:rFonts w:asciiTheme="minorHAnsi" w:hAnsiTheme="minorHAnsi" w:cstheme="minorHAnsi"/>
          <w:b/>
        </w:rPr>
      </w:pPr>
      <w:r w:rsidRPr="000E0708">
        <w:rPr>
          <w:rFonts w:asciiTheme="minorHAnsi" w:hAnsiTheme="minorHAnsi" w:cstheme="minorHAnsi"/>
          <w:b/>
        </w:rPr>
        <w:t>Principle Contractor Details (the lead contractor)</w:t>
      </w:r>
    </w:p>
    <w:p w14:paraId="52F9F250" w14:textId="77777777" w:rsidR="002C578D" w:rsidRPr="000E0708" w:rsidRDefault="002C578D" w:rsidP="002C578D">
      <w:pPr>
        <w:tabs>
          <w:tab w:val="left" w:pos="861"/>
        </w:tabs>
        <w:spacing w:line="276" w:lineRule="auto"/>
        <w:rPr>
          <w:rFonts w:asciiTheme="minorHAnsi" w:hAnsiTheme="minorHAnsi" w:cstheme="minorHAnsi"/>
          <w:u w:val="single"/>
        </w:rPr>
      </w:pPr>
      <w:r w:rsidRPr="000E0708">
        <w:rPr>
          <w:rFonts w:asciiTheme="minorHAnsi" w:hAnsiTheme="minorHAnsi" w:cstheme="minorHAnsi"/>
        </w:rPr>
        <w:t>Name:</w:t>
      </w:r>
      <w:r w:rsidRPr="000E0708">
        <w:rPr>
          <w:rFonts w:asciiTheme="minorHAnsi" w:hAnsiTheme="minorHAnsi" w:cstheme="minorHAnsi"/>
        </w:rPr>
        <w:tab/>
      </w:r>
      <w:r w:rsidRPr="000E0708">
        <w:rPr>
          <w:rFonts w:asciiTheme="minorHAnsi" w:hAnsiTheme="minorHAnsi" w:cstheme="minorHAnsi"/>
        </w:rPr>
        <w:fldChar w:fldCharType="begin">
          <w:ffData>
            <w:name w:val="Text19"/>
            <w:enabled/>
            <w:calcOnExit w:val="0"/>
            <w:textInput>
              <w:maxLength w:val="65"/>
            </w:textInput>
          </w:ffData>
        </w:fldChar>
      </w:r>
      <w:r w:rsidRPr="000E0708">
        <w:rPr>
          <w:rFonts w:asciiTheme="minorHAnsi" w:hAnsiTheme="minorHAnsi" w:cstheme="minorHAnsi"/>
        </w:rPr>
        <w:instrText xml:space="preserve"> FORMTEXT </w:instrText>
      </w:r>
      <w:r w:rsidRPr="000E0708">
        <w:rPr>
          <w:rFonts w:asciiTheme="minorHAnsi" w:hAnsiTheme="minorHAnsi" w:cstheme="minorHAnsi"/>
        </w:rPr>
      </w:r>
      <w:r w:rsidRPr="000E0708">
        <w:rPr>
          <w:rFonts w:asciiTheme="minorHAnsi" w:hAnsiTheme="minorHAnsi" w:cstheme="minorHAnsi"/>
        </w:rPr>
        <w:fldChar w:fldCharType="separate"/>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rPr>
        <w:fldChar w:fldCharType="end"/>
      </w:r>
    </w:p>
    <w:p w14:paraId="59D1BB5B" w14:textId="77777777" w:rsidR="002C578D" w:rsidRPr="000E0708" w:rsidRDefault="002C578D" w:rsidP="002C578D">
      <w:pPr>
        <w:tabs>
          <w:tab w:val="left" w:pos="861"/>
        </w:tabs>
        <w:spacing w:line="276" w:lineRule="auto"/>
        <w:rPr>
          <w:rFonts w:asciiTheme="minorHAnsi" w:hAnsiTheme="minorHAnsi" w:cstheme="minorHAnsi"/>
          <w:u w:val="single"/>
        </w:rPr>
      </w:pPr>
      <w:r w:rsidRPr="000E0708">
        <w:rPr>
          <w:rFonts w:asciiTheme="minorHAnsi" w:hAnsiTheme="minorHAnsi" w:cstheme="minorHAnsi"/>
        </w:rPr>
        <w:t>Address:</w:t>
      </w:r>
      <w:r w:rsidRPr="000E0708">
        <w:rPr>
          <w:rFonts w:asciiTheme="minorHAnsi" w:hAnsiTheme="minorHAnsi" w:cstheme="minorHAnsi"/>
        </w:rPr>
        <w:tab/>
      </w:r>
      <w:r w:rsidRPr="000E0708">
        <w:rPr>
          <w:rFonts w:asciiTheme="minorHAnsi" w:hAnsiTheme="minorHAnsi" w:cstheme="minorHAnsi"/>
        </w:rPr>
        <w:fldChar w:fldCharType="begin">
          <w:ffData>
            <w:name w:val="Text20"/>
            <w:enabled/>
            <w:calcOnExit w:val="0"/>
            <w:textInput>
              <w:maxLength w:val="65"/>
            </w:textInput>
          </w:ffData>
        </w:fldChar>
      </w:r>
      <w:r w:rsidRPr="000E0708">
        <w:rPr>
          <w:rFonts w:asciiTheme="minorHAnsi" w:hAnsiTheme="minorHAnsi" w:cstheme="minorHAnsi"/>
        </w:rPr>
        <w:instrText xml:space="preserve"> FORMTEXT </w:instrText>
      </w:r>
      <w:r w:rsidRPr="000E0708">
        <w:rPr>
          <w:rFonts w:asciiTheme="minorHAnsi" w:hAnsiTheme="minorHAnsi" w:cstheme="minorHAnsi"/>
        </w:rPr>
      </w:r>
      <w:r w:rsidRPr="000E0708">
        <w:rPr>
          <w:rFonts w:asciiTheme="minorHAnsi" w:hAnsiTheme="minorHAnsi" w:cstheme="minorHAnsi"/>
        </w:rPr>
        <w:fldChar w:fldCharType="separate"/>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rPr>
        <w:fldChar w:fldCharType="end"/>
      </w:r>
    </w:p>
    <w:p w14:paraId="415901D7" w14:textId="62522B2D" w:rsidR="00570E99" w:rsidRPr="000E0708" w:rsidRDefault="002C578D" w:rsidP="002C578D">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bCs/>
        </w:rPr>
      </w:pPr>
      <w:r w:rsidRPr="000E0708">
        <w:rPr>
          <w:rFonts w:asciiTheme="minorHAnsi" w:hAnsiTheme="minorHAnsi" w:cstheme="minorHAnsi"/>
        </w:rPr>
        <w:t xml:space="preserve">Postcode: </w:t>
      </w:r>
      <w:r w:rsidRPr="000E0708">
        <w:rPr>
          <w:rFonts w:asciiTheme="minorHAnsi" w:hAnsiTheme="minorHAnsi" w:cstheme="minorHAnsi"/>
        </w:rPr>
        <w:fldChar w:fldCharType="begin">
          <w:ffData>
            <w:name w:val=""/>
            <w:enabled/>
            <w:calcOnExit w:val="0"/>
            <w:textInput>
              <w:maxLength w:val="10"/>
            </w:textInput>
          </w:ffData>
        </w:fldChar>
      </w:r>
      <w:r w:rsidRPr="000E0708">
        <w:rPr>
          <w:rFonts w:asciiTheme="minorHAnsi" w:hAnsiTheme="minorHAnsi" w:cstheme="minorHAnsi"/>
        </w:rPr>
        <w:instrText xml:space="preserve"> FORMTEXT </w:instrText>
      </w:r>
      <w:r w:rsidRPr="000E0708">
        <w:rPr>
          <w:rFonts w:asciiTheme="minorHAnsi" w:hAnsiTheme="minorHAnsi" w:cstheme="minorHAnsi"/>
        </w:rPr>
      </w:r>
      <w:r w:rsidRPr="000E0708">
        <w:rPr>
          <w:rFonts w:asciiTheme="minorHAnsi" w:hAnsiTheme="minorHAnsi" w:cstheme="minorHAnsi"/>
        </w:rPr>
        <w:fldChar w:fldCharType="separate"/>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rPr>
        <w:fldChar w:fldCharType="end"/>
      </w:r>
      <w:r w:rsidRPr="000E0708">
        <w:rPr>
          <w:rFonts w:asciiTheme="minorHAnsi" w:hAnsiTheme="minorHAnsi" w:cstheme="minorHAnsi"/>
        </w:rPr>
        <w:t xml:space="preserve">                             Tel: </w:t>
      </w:r>
      <w:r w:rsidRPr="000E0708">
        <w:rPr>
          <w:rFonts w:asciiTheme="minorHAnsi" w:hAnsiTheme="minorHAnsi" w:cstheme="minorHAnsi"/>
        </w:rPr>
        <w:fldChar w:fldCharType="begin">
          <w:ffData>
            <w:name w:val="Text16"/>
            <w:enabled/>
            <w:calcOnExit w:val="0"/>
            <w:textInput>
              <w:maxLength w:val="15"/>
            </w:textInput>
          </w:ffData>
        </w:fldChar>
      </w:r>
      <w:r w:rsidRPr="000E0708">
        <w:rPr>
          <w:rFonts w:asciiTheme="minorHAnsi" w:hAnsiTheme="minorHAnsi" w:cstheme="minorHAnsi"/>
        </w:rPr>
        <w:instrText xml:space="preserve"> FORMTEXT </w:instrText>
      </w:r>
      <w:r w:rsidRPr="000E0708">
        <w:rPr>
          <w:rFonts w:asciiTheme="minorHAnsi" w:hAnsiTheme="minorHAnsi" w:cstheme="minorHAnsi"/>
        </w:rPr>
      </w:r>
      <w:r w:rsidRPr="000E0708">
        <w:rPr>
          <w:rFonts w:asciiTheme="minorHAnsi" w:hAnsiTheme="minorHAnsi" w:cstheme="minorHAnsi"/>
        </w:rPr>
        <w:fldChar w:fldCharType="separate"/>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rPr>
        <w:fldChar w:fldCharType="end"/>
      </w:r>
      <w:r w:rsidRPr="000E0708">
        <w:rPr>
          <w:rFonts w:asciiTheme="minorHAnsi" w:hAnsiTheme="minorHAnsi" w:cstheme="minorHAnsi"/>
        </w:rPr>
        <w:t xml:space="preserve">                                 Email: </w:t>
      </w:r>
      <w:r w:rsidRPr="000E0708">
        <w:rPr>
          <w:rFonts w:asciiTheme="minorHAnsi" w:hAnsiTheme="minorHAnsi" w:cstheme="minorHAnsi"/>
        </w:rPr>
        <w:fldChar w:fldCharType="begin">
          <w:ffData>
            <w:name w:val="Text17"/>
            <w:enabled/>
            <w:calcOnExit w:val="0"/>
            <w:textInput>
              <w:maxLength w:val="50"/>
            </w:textInput>
          </w:ffData>
        </w:fldChar>
      </w:r>
      <w:r w:rsidRPr="000E0708">
        <w:rPr>
          <w:rFonts w:asciiTheme="minorHAnsi" w:hAnsiTheme="minorHAnsi" w:cstheme="minorHAnsi"/>
        </w:rPr>
        <w:instrText xml:space="preserve"> FORMTEXT </w:instrText>
      </w:r>
      <w:r w:rsidRPr="000E0708">
        <w:rPr>
          <w:rFonts w:asciiTheme="minorHAnsi" w:hAnsiTheme="minorHAnsi" w:cstheme="minorHAnsi"/>
        </w:rPr>
      </w:r>
      <w:r w:rsidRPr="000E0708">
        <w:rPr>
          <w:rFonts w:asciiTheme="minorHAnsi" w:hAnsiTheme="minorHAnsi" w:cstheme="minorHAnsi"/>
        </w:rPr>
        <w:fldChar w:fldCharType="separate"/>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noProof/>
        </w:rPr>
        <w:t> </w:t>
      </w:r>
      <w:r w:rsidRPr="000E0708">
        <w:rPr>
          <w:rFonts w:asciiTheme="minorHAnsi" w:hAnsiTheme="minorHAnsi" w:cstheme="minorHAnsi"/>
        </w:rPr>
        <w:fldChar w:fldCharType="end"/>
      </w:r>
    </w:p>
    <w:p w14:paraId="21359110" w14:textId="77777777" w:rsidR="000E0708" w:rsidRPr="000E0708" w:rsidRDefault="000E0708" w:rsidP="00570E99">
      <w:pPr>
        <w:tabs>
          <w:tab w:val="left" w:pos="1482"/>
          <w:tab w:val="left" w:pos="2187"/>
          <w:tab w:val="left" w:pos="2892"/>
          <w:tab w:val="left" w:pos="3597"/>
          <w:tab w:val="left" w:pos="4362"/>
          <w:tab w:val="left" w:pos="5079"/>
          <w:tab w:val="left" w:pos="5802"/>
          <w:tab w:val="left" w:pos="6477"/>
          <w:tab w:val="left" w:pos="7245"/>
          <w:tab w:val="left" w:pos="7932"/>
          <w:tab w:val="left" w:pos="8613"/>
          <w:tab w:val="left" w:pos="9069"/>
        </w:tabs>
        <w:spacing w:line="276" w:lineRule="auto"/>
        <w:rPr>
          <w:rFonts w:asciiTheme="minorHAnsi" w:hAnsiTheme="minorHAnsi" w:cstheme="minorHAnsi"/>
          <w:b/>
          <w:bCs/>
        </w:rPr>
      </w:pPr>
    </w:p>
    <w:p w14:paraId="6F5A2239" w14:textId="77777777" w:rsidR="000E0708" w:rsidRPr="000E0708" w:rsidRDefault="000E0708" w:rsidP="000E0708">
      <w:pPr>
        <w:rPr>
          <w:rFonts w:asciiTheme="minorHAnsi" w:hAnsiTheme="minorHAnsi" w:cstheme="minorHAnsi"/>
        </w:rPr>
      </w:pPr>
      <w:r w:rsidRPr="000E0708">
        <w:rPr>
          <w:rStyle w:val="Strong"/>
          <w:rFonts w:asciiTheme="minorHAnsi" w:hAnsiTheme="minorHAnsi" w:cstheme="minorHAnsi"/>
          <w:color w:val="3C3C3C"/>
        </w:rPr>
        <w:t>Reviewing your Notice of Commencement</w:t>
      </w:r>
    </w:p>
    <w:p w14:paraId="7F932671" w14:textId="77777777" w:rsidR="000E0708" w:rsidRDefault="000E0708" w:rsidP="00371927">
      <w:pPr>
        <w:rPr>
          <w:rFonts w:asciiTheme="minorHAnsi" w:hAnsiTheme="minorHAnsi" w:cstheme="minorHAnsi"/>
        </w:rPr>
      </w:pPr>
    </w:p>
    <w:p w14:paraId="6FDFCCA1" w14:textId="274C3528" w:rsidR="000E0708" w:rsidRPr="000E0708" w:rsidRDefault="000E0708" w:rsidP="00371927">
      <w:pPr>
        <w:rPr>
          <w:rFonts w:asciiTheme="minorHAnsi" w:hAnsiTheme="minorHAnsi" w:cstheme="minorHAnsi"/>
        </w:rPr>
      </w:pPr>
      <w:r w:rsidRPr="000E0708">
        <w:rPr>
          <w:rFonts w:asciiTheme="minorHAnsi" w:hAnsiTheme="minorHAnsi" w:cstheme="minorHAnsi"/>
        </w:rPr>
        <w:t>When you send us your Notice of Commencement, we will review it to make sure commencement conditions have been met.</w:t>
      </w:r>
    </w:p>
    <w:p w14:paraId="77BA3A4A" w14:textId="77777777" w:rsidR="000E0708" w:rsidRPr="000E0708" w:rsidRDefault="000E0708" w:rsidP="00371927">
      <w:pPr>
        <w:rPr>
          <w:rFonts w:asciiTheme="minorHAnsi" w:hAnsiTheme="minorHAnsi" w:cstheme="minorHAnsi"/>
        </w:rPr>
      </w:pPr>
    </w:p>
    <w:p w14:paraId="4F20795C" w14:textId="6B68E815" w:rsidR="00371927" w:rsidRPr="00371927" w:rsidRDefault="00371927" w:rsidP="00371927">
      <w:pPr>
        <w:rPr>
          <w:rStyle w:val="legamendingtext"/>
          <w:rFonts w:asciiTheme="minorHAnsi" w:hAnsiTheme="minorHAnsi" w:cstheme="minorHAnsi"/>
          <w:sz w:val="22"/>
          <w:szCs w:val="22"/>
        </w:rPr>
      </w:pPr>
      <w:r w:rsidRPr="00371927">
        <w:rPr>
          <w:rStyle w:val="legamendingtext"/>
          <w:rFonts w:asciiTheme="minorHAnsi" w:hAnsiTheme="minorHAnsi" w:cstheme="minorHAnsi"/>
          <w:color w:val="1E1E1E"/>
        </w:rPr>
        <w:t xml:space="preserve">If the </w:t>
      </w:r>
      <w:r>
        <w:rPr>
          <w:rStyle w:val="legamendingtext"/>
          <w:rFonts w:asciiTheme="minorHAnsi" w:hAnsiTheme="minorHAnsi" w:cstheme="minorHAnsi"/>
          <w:color w:val="1E1E1E"/>
        </w:rPr>
        <w:t>East Suffolk Building Control</w:t>
      </w:r>
      <w:r w:rsidRPr="00371927">
        <w:rPr>
          <w:rStyle w:val="legamendingtext"/>
          <w:rFonts w:asciiTheme="minorHAnsi" w:hAnsiTheme="minorHAnsi" w:cstheme="minorHAnsi"/>
          <w:color w:val="1E1E1E"/>
        </w:rPr>
        <w:t xml:space="preserve"> are not satisfied the work is to be regarded as </w:t>
      </w:r>
      <w:proofErr w:type="gramStart"/>
      <w:r w:rsidRPr="00371927">
        <w:rPr>
          <w:rStyle w:val="legamendingtext"/>
          <w:rFonts w:asciiTheme="minorHAnsi" w:hAnsiTheme="minorHAnsi" w:cstheme="minorHAnsi"/>
          <w:color w:val="1E1E1E"/>
        </w:rPr>
        <w:t>commenced</w:t>
      </w:r>
      <w:proofErr w:type="gramEnd"/>
      <w:r w:rsidRPr="00371927">
        <w:rPr>
          <w:rStyle w:val="legamendingtext"/>
          <w:rFonts w:asciiTheme="minorHAnsi" w:hAnsiTheme="minorHAnsi" w:cstheme="minorHAnsi"/>
          <w:color w:val="1E1E1E"/>
        </w:rPr>
        <w:t xml:space="preserve"> they must give the person carrying out the work a notice to that effect (“rejection notice”) within four weeks of the date the notice under paragraph (3C) is given, and the rejection notice must give the reasons for rejection.</w:t>
      </w:r>
    </w:p>
    <w:p w14:paraId="61D105FE" w14:textId="77777777" w:rsidR="00371927" w:rsidRDefault="00371927" w:rsidP="00371927">
      <w:pPr>
        <w:pStyle w:val="legp2paratext"/>
        <w:shd w:val="clear" w:color="auto" w:fill="FFFFFF"/>
        <w:spacing w:before="0" w:beforeAutospacing="0" w:after="0" w:afterAutospacing="0" w:line="360" w:lineRule="atLeast"/>
        <w:rPr>
          <w:rStyle w:val="legamendingtext"/>
          <w:rFonts w:asciiTheme="minorHAnsi" w:hAnsiTheme="minorHAnsi" w:cstheme="minorHAnsi"/>
          <w:color w:val="1E1E1E"/>
          <w:sz w:val="24"/>
          <w:szCs w:val="24"/>
        </w:rPr>
      </w:pPr>
    </w:p>
    <w:p w14:paraId="48B3150C" w14:textId="052912DE" w:rsidR="00371927" w:rsidRDefault="00371927" w:rsidP="00371927">
      <w:pPr>
        <w:pStyle w:val="legp2paratext"/>
        <w:shd w:val="clear" w:color="auto" w:fill="FFFFFF"/>
        <w:spacing w:before="0" w:beforeAutospacing="0" w:after="0" w:afterAutospacing="0"/>
        <w:rPr>
          <w:rStyle w:val="legamendingtext"/>
          <w:rFonts w:asciiTheme="minorHAnsi" w:hAnsiTheme="minorHAnsi" w:cstheme="minorHAnsi"/>
          <w:color w:val="1E1E1E"/>
          <w:sz w:val="24"/>
          <w:szCs w:val="24"/>
        </w:rPr>
      </w:pPr>
      <w:r w:rsidRPr="00371927">
        <w:rPr>
          <w:rStyle w:val="legamendingtext"/>
          <w:rFonts w:asciiTheme="minorHAnsi" w:hAnsiTheme="minorHAnsi" w:cstheme="minorHAnsi"/>
          <w:color w:val="1E1E1E"/>
          <w:sz w:val="24"/>
          <w:szCs w:val="24"/>
        </w:rPr>
        <w:t xml:space="preserve">Where a notice is given under paragraph (3C) </w:t>
      </w:r>
      <w:r>
        <w:rPr>
          <w:rStyle w:val="legamendingtext"/>
          <w:rFonts w:asciiTheme="minorHAnsi" w:hAnsiTheme="minorHAnsi" w:cstheme="minorHAnsi"/>
          <w:color w:val="1E1E1E"/>
          <w:sz w:val="24"/>
          <w:szCs w:val="24"/>
        </w:rPr>
        <w:t xml:space="preserve">the Building Regulations 2010 (amended) </w:t>
      </w:r>
      <w:r w:rsidRPr="00371927">
        <w:rPr>
          <w:rStyle w:val="legamendingtext"/>
          <w:rFonts w:asciiTheme="minorHAnsi" w:hAnsiTheme="minorHAnsi" w:cstheme="minorHAnsi"/>
          <w:color w:val="1E1E1E"/>
          <w:sz w:val="24"/>
          <w:szCs w:val="24"/>
        </w:rPr>
        <w:t>and the period referred to in paragraph (3E)</w:t>
      </w:r>
      <w:r>
        <w:rPr>
          <w:rStyle w:val="legamendingtext"/>
          <w:rFonts w:asciiTheme="minorHAnsi" w:hAnsiTheme="minorHAnsi" w:cstheme="minorHAnsi"/>
          <w:color w:val="1E1E1E"/>
          <w:sz w:val="24"/>
          <w:szCs w:val="24"/>
        </w:rPr>
        <w:t xml:space="preserve"> the Building Regulations 2010 (amended)</w:t>
      </w:r>
      <w:r w:rsidRPr="00371927">
        <w:rPr>
          <w:rStyle w:val="legamendingtext"/>
          <w:rFonts w:asciiTheme="minorHAnsi" w:hAnsiTheme="minorHAnsi" w:cstheme="minorHAnsi"/>
          <w:color w:val="1E1E1E"/>
          <w:sz w:val="24"/>
          <w:szCs w:val="24"/>
        </w:rPr>
        <w:t xml:space="preserve"> expires without a rejection notice being given, then the work is to be regarded as commenced.</w:t>
      </w:r>
    </w:p>
    <w:p w14:paraId="28499A90" w14:textId="77777777" w:rsidR="00371927" w:rsidRPr="00371927" w:rsidRDefault="00371927" w:rsidP="00371927">
      <w:pPr>
        <w:pStyle w:val="legp2paratext"/>
        <w:shd w:val="clear" w:color="auto" w:fill="FFFFFF"/>
        <w:spacing w:before="0" w:beforeAutospacing="0" w:after="0" w:afterAutospacing="0"/>
        <w:rPr>
          <w:rStyle w:val="legamendingtext"/>
          <w:rFonts w:asciiTheme="minorHAnsi" w:hAnsiTheme="minorHAnsi" w:cstheme="minorHAnsi"/>
          <w:color w:val="1E1E1E"/>
          <w:sz w:val="24"/>
          <w:szCs w:val="24"/>
        </w:rPr>
      </w:pPr>
    </w:p>
    <w:p w14:paraId="193B415B" w14:textId="05D003A6" w:rsidR="00371927" w:rsidRDefault="00371927" w:rsidP="00371927">
      <w:pPr>
        <w:pStyle w:val="legp2paratext"/>
        <w:shd w:val="clear" w:color="auto" w:fill="FFFFFF"/>
        <w:spacing w:before="0" w:beforeAutospacing="0" w:after="0" w:afterAutospacing="0"/>
        <w:rPr>
          <w:rStyle w:val="legamendingtext"/>
          <w:rFonts w:asciiTheme="minorHAnsi" w:hAnsiTheme="minorHAnsi" w:cstheme="minorHAnsi"/>
          <w:color w:val="1E1E1E"/>
          <w:sz w:val="24"/>
          <w:szCs w:val="24"/>
        </w:rPr>
      </w:pPr>
      <w:r w:rsidRPr="00371927">
        <w:rPr>
          <w:rStyle w:val="legamendingtext"/>
          <w:rFonts w:asciiTheme="minorHAnsi" w:hAnsiTheme="minorHAnsi" w:cstheme="minorHAnsi"/>
          <w:color w:val="1E1E1E"/>
          <w:sz w:val="24"/>
          <w:szCs w:val="24"/>
        </w:rPr>
        <w:t xml:space="preserve">If the person carrying out the work accepts the rejection notice they may not give a further notice under paragraph (3C) </w:t>
      </w:r>
      <w:r>
        <w:rPr>
          <w:rStyle w:val="legamendingtext"/>
          <w:rFonts w:asciiTheme="minorHAnsi" w:hAnsiTheme="minorHAnsi" w:cstheme="minorHAnsi"/>
          <w:color w:val="1E1E1E"/>
          <w:sz w:val="24"/>
          <w:szCs w:val="24"/>
        </w:rPr>
        <w:t>the Building Regulations 2010 (amended)</w:t>
      </w:r>
      <w:r w:rsidRPr="00371927">
        <w:rPr>
          <w:rStyle w:val="legamendingtext"/>
          <w:rFonts w:asciiTheme="minorHAnsi" w:hAnsiTheme="minorHAnsi" w:cstheme="minorHAnsi"/>
          <w:color w:val="1E1E1E"/>
          <w:sz w:val="24"/>
          <w:szCs w:val="24"/>
        </w:rPr>
        <w:t xml:space="preserve">unless, having regard to the reasons given by the </w:t>
      </w:r>
      <w:r>
        <w:rPr>
          <w:rStyle w:val="legamendingtext"/>
          <w:rFonts w:asciiTheme="minorHAnsi" w:hAnsiTheme="minorHAnsi" w:cstheme="minorHAnsi"/>
          <w:color w:val="1E1E1E"/>
        </w:rPr>
        <w:t>East Suffolk Building Control</w:t>
      </w:r>
      <w:r w:rsidRPr="00371927">
        <w:rPr>
          <w:rStyle w:val="legamendingtext"/>
          <w:rFonts w:asciiTheme="minorHAnsi" w:hAnsiTheme="minorHAnsi" w:cstheme="minorHAnsi"/>
          <w:color w:val="1E1E1E"/>
          <w:sz w:val="24"/>
          <w:szCs w:val="24"/>
        </w:rPr>
        <w:t>, they are satisfied the work is to be regarded as commenced.</w:t>
      </w:r>
    </w:p>
    <w:p w14:paraId="6C76A29D" w14:textId="77777777" w:rsidR="00371927" w:rsidRPr="00371927" w:rsidRDefault="00371927" w:rsidP="00371927">
      <w:pPr>
        <w:pStyle w:val="legp2paratext"/>
        <w:shd w:val="clear" w:color="auto" w:fill="FFFFFF"/>
        <w:spacing w:before="0" w:beforeAutospacing="0" w:after="0" w:afterAutospacing="0"/>
        <w:rPr>
          <w:rFonts w:asciiTheme="minorHAnsi" w:hAnsiTheme="minorHAnsi" w:cstheme="minorHAnsi"/>
        </w:rPr>
      </w:pPr>
    </w:p>
    <w:p w14:paraId="4A21844A" w14:textId="5EAF97AE" w:rsidR="000E0708" w:rsidRDefault="00371927" w:rsidP="00371927">
      <w:pPr>
        <w:pStyle w:val="legp2paratext"/>
        <w:shd w:val="clear" w:color="auto" w:fill="FFFFFF"/>
        <w:spacing w:before="0" w:beforeAutospacing="0" w:after="0" w:afterAutospacing="0"/>
        <w:rPr>
          <w:rStyle w:val="legamendingtext"/>
          <w:rFonts w:asciiTheme="minorHAnsi" w:hAnsiTheme="minorHAnsi" w:cstheme="minorHAnsi"/>
          <w:color w:val="1E1E1E"/>
          <w:sz w:val="24"/>
          <w:szCs w:val="24"/>
        </w:rPr>
      </w:pPr>
      <w:r w:rsidRPr="00371927">
        <w:rPr>
          <w:rStyle w:val="legamendingtext"/>
          <w:rFonts w:asciiTheme="minorHAnsi" w:hAnsiTheme="minorHAnsi" w:cstheme="minorHAnsi"/>
          <w:color w:val="1E1E1E"/>
          <w:sz w:val="24"/>
          <w:szCs w:val="24"/>
        </w:rPr>
        <w:t xml:space="preserve">A person who gave the notice under paragraph (3C) </w:t>
      </w:r>
      <w:r>
        <w:rPr>
          <w:rStyle w:val="legamendingtext"/>
          <w:rFonts w:asciiTheme="minorHAnsi" w:hAnsiTheme="minorHAnsi" w:cstheme="minorHAnsi"/>
          <w:color w:val="1E1E1E"/>
          <w:sz w:val="24"/>
          <w:szCs w:val="24"/>
        </w:rPr>
        <w:t xml:space="preserve">of the Building Regulations 2010 (amended) </w:t>
      </w:r>
      <w:r w:rsidRPr="00371927">
        <w:rPr>
          <w:rStyle w:val="legamendingtext"/>
          <w:rFonts w:asciiTheme="minorHAnsi" w:hAnsiTheme="minorHAnsi" w:cstheme="minorHAnsi"/>
          <w:color w:val="1E1E1E"/>
          <w:sz w:val="24"/>
          <w:szCs w:val="24"/>
        </w:rPr>
        <w:t>may appeal to the First-tier Tribunal against the decision of the relevant authority to reject the notice provided the appeal is made within 21 relevant days beginning with the day after the day on which the relevant authority gives the rejection notice.</w:t>
      </w:r>
    </w:p>
    <w:p w14:paraId="305F2E3B" w14:textId="77777777" w:rsidR="00371927" w:rsidRPr="000E0708" w:rsidRDefault="00371927" w:rsidP="000E0708">
      <w:pPr>
        <w:rPr>
          <w:rFonts w:asciiTheme="minorHAnsi" w:hAnsiTheme="minorHAnsi" w:cstheme="minorHAnsi"/>
        </w:rPr>
      </w:pPr>
    </w:p>
    <w:p w14:paraId="0B3F31B4" w14:textId="4E7D47BA" w:rsidR="00A57322" w:rsidRPr="00371927" w:rsidRDefault="000E0708" w:rsidP="00A57322">
      <w:pPr>
        <w:rPr>
          <w:rStyle w:val="Strong"/>
          <w:rFonts w:asciiTheme="minorHAnsi" w:hAnsiTheme="minorHAnsi" w:cstheme="minorHAnsi"/>
          <w:b w:val="0"/>
          <w:bCs w:val="0"/>
        </w:rPr>
      </w:pPr>
      <w:r w:rsidRPr="000E0708">
        <w:rPr>
          <w:rFonts w:asciiTheme="minorHAnsi" w:hAnsiTheme="minorHAnsi" w:cstheme="minorHAnsi"/>
        </w:rPr>
        <w:t xml:space="preserve">If you don’t get any response from </w:t>
      </w:r>
      <w:r>
        <w:rPr>
          <w:rFonts w:asciiTheme="minorHAnsi" w:hAnsiTheme="minorHAnsi" w:cstheme="minorHAnsi"/>
        </w:rPr>
        <w:t>East Suffolk Building Control</w:t>
      </w:r>
      <w:r w:rsidRPr="000E0708">
        <w:rPr>
          <w:rFonts w:asciiTheme="minorHAnsi" w:hAnsiTheme="minorHAnsi" w:cstheme="minorHAnsi"/>
        </w:rPr>
        <w:t xml:space="preserve"> within 4 weeks from the date you sent </w:t>
      </w:r>
      <w:r>
        <w:rPr>
          <w:rFonts w:asciiTheme="minorHAnsi" w:hAnsiTheme="minorHAnsi" w:cstheme="minorHAnsi"/>
        </w:rPr>
        <w:t xml:space="preserve">in </w:t>
      </w:r>
      <w:r w:rsidRPr="000E0708">
        <w:rPr>
          <w:rFonts w:asciiTheme="minorHAnsi" w:hAnsiTheme="minorHAnsi" w:cstheme="minorHAnsi"/>
        </w:rPr>
        <w:t>your notice, you can consider your work as being commenced.</w:t>
      </w:r>
    </w:p>
    <w:p w14:paraId="6DAD8F7C" w14:textId="77777777" w:rsidR="00371927" w:rsidRDefault="00371927" w:rsidP="000E0708">
      <w:pPr>
        <w:pStyle w:val="NoSpacing"/>
        <w:jc w:val="center"/>
        <w:rPr>
          <w:rStyle w:val="Strong"/>
          <w:rFonts w:asciiTheme="minorHAnsi" w:hAnsiTheme="minorHAnsi" w:cstheme="minorHAnsi"/>
          <w:color w:val="3C3C3C"/>
          <w:sz w:val="28"/>
          <w:szCs w:val="28"/>
        </w:rPr>
      </w:pPr>
    </w:p>
    <w:p w14:paraId="3865F21E" w14:textId="1828BB7E" w:rsidR="000E0708" w:rsidRPr="000E0708" w:rsidRDefault="000E0708" w:rsidP="000E0708">
      <w:pPr>
        <w:pStyle w:val="NoSpacing"/>
        <w:jc w:val="center"/>
        <w:rPr>
          <w:rStyle w:val="Strong"/>
          <w:rFonts w:asciiTheme="minorHAnsi" w:hAnsiTheme="minorHAnsi" w:cstheme="minorHAnsi"/>
          <w:color w:val="3C3C3C"/>
          <w:sz w:val="28"/>
          <w:szCs w:val="28"/>
        </w:rPr>
      </w:pPr>
      <w:r>
        <w:rPr>
          <w:rStyle w:val="Strong"/>
          <w:rFonts w:asciiTheme="minorHAnsi" w:hAnsiTheme="minorHAnsi" w:cstheme="minorHAnsi"/>
          <w:color w:val="3C3C3C"/>
          <w:sz w:val="28"/>
          <w:szCs w:val="28"/>
        </w:rPr>
        <w:lastRenderedPageBreak/>
        <w:t>G</w:t>
      </w:r>
      <w:r w:rsidRPr="000E0708">
        <w:rPr>
          <w:rStyle w:val="Strong"/>
          <w:rFonts w:asciiTheme="minorHAnsi" w:hAnsiTheme="minorHAnsi" w:cstheme="minorHAnsi"/>
          <w:color w:val="3C3C3C"/>
          <w:sz w:val="28"/>
          <w:szCs w:val="28"/>
        </w:rPr>
        <w:t>uidance Notes – Understanding when Building Work has reached commencement.</w:t>
      </w:r>
    </w:p>
    <w:p w14:paraId="3A06369A" w14:textId="77777777" w:rsidR="000E0708" w:rsidRPr="000E0708" w:rsidRDefault="000E0708" w:rsidP="000E0708">
      <w:pPr>
        <w:pStyle w:val="NoSpacing"/>
        <w:rPr>
          <w:rFonts w:asciiTheme="minorHAnsi" w:hAnsiTheme="minorHAnsi" w:cstheme="minorHAnsi"/>
        </w:rPr>
      </w:pPr>
    </w:p>
    <w:p w14:paraId="1B697349" w14:textId="77777777" w:rsidR="000E0708" w:rsidRPr="000E0708" w:rsidRDefault="000E0708" w:rsidP="000E0708">
      <w:pPr>
        <w:pStyle w:val="NoSpacing"/>
        <w:rPr>
          <w:rFonts w:asciiTheme="minorHAnsi" w:hAnsiTheme="minorHAnsi" w:cstheme="minorHAnsi"/>
        </w:rPr>
      </w:pPr>
      <w:r w:rsidRPr="000E0708">
        <w:rPr>
          <w:rStyle w:val="Strong"/>
          <w:rFonts w:asciiTheme="minorHAnsi" w:hAnsiTheme="minorHAnsi" w:cstheme="minorHAnsi"/>
          <w:color w:val="3C3C3C"/>
        </w:rPr>
        <w:t>Commencement of New Buildings or Extensions which are not a Complex Building</w:t>
      </w:r>
    </w:p>
    <w:p w14:paraId="377879FB" w14:textId="77777777" w:rsidR="000E0708" w:rsidRPr="000E0708" w:rsidRDefault="000E0708" w:rsidP="000E0708">
      <w:pPr>
        <w:pStyle w:val="NoSpacing"/>
        <w:rPr>
          <w:rFonts w:asciiTheme="minorHAnsi" w:hAnsiTheme="minorHAnsi" w:cstheme="minorHAnsi"/>
        </w:rPr>
      </w:pPr>
      <w:r w:rsidRPr="000E0708">
        <w:rPr>
          <w:rFonts w:asciiTheme="minorHAnsi" w:hAnsiTheme="minorHAnsi" w:cstheme="minorHAnsi"/>
        </w:rPr>
        <w:t>Work is to be regarded as commenced when the slab is poured.</w:t>
      </w:r>
    </w:p>
    <w:p w14:paraId="23EC7072" w14:textId="77777777" w:rsidR="000E0708" w:rsidRPr="000E0708" w:rsidRDefault="000E0708" w:rsidP="000E0708">
      <w:pPr>
        <w:pStyle w:val="NoSpacing"/>
        <w:rPr>
          <w:rFonts w:asciiTheme="minorHAnsi" w:hAnsiTheme="minorHAnsi" w:cstheme="minorHAnsi"/>
        </w:rPr>
      </w:pPr>
    </w:p>
    <w:p w14:paraId="40A28C39" w14:textId="77777777" w:rsidR="000E0708" w:rsidRPr="000E0708" w:rsidRDefault="000E0708" w:rsidP="000E0708">
      <w:pPr>
        <w:pStyle w:val="NoSpacing"/>
        <w:rPr>
          <w:rFonts w:asciiTheme="minorHAnsi" w:hAnsiTheme="minorHAnsi" w:cstheme="minorHAnsi"/>
        </w:rPr>
      </w:pPr>
      <w:r w:rsidRPr="000E0708">
        <w:rPr>
          <w:rStyle w:val="Strong"/>
          <w:rFonts w:asciiTheme="minorHAnsi" w:hAnsiTheme="minorHAnsi" w:cstheme="minorHAnsi"/>
          <w:color w:val="3C3C3C"/>
        </w:rPr>
        <w:t>Commencement of All Other Building Work (Loft Conversions, Fit Out etc)</w:t>
      </w:r>
    </w:p>
    <w:p w14:paraId="36EA3323" w14:textId="77777777" w:rsidR="000E0708" w:rsidRPr="000E0708" w:rsidRDefault="000E0708" w:rsidP="000E0708">
      <w:pPr>
        <w:pStyle w:val="NormalWeb"/>
        <w:shd w:val="clear" w:color="auto" w:fill="FFFFFF"/>
        <w:spacing w:before="0" w:beforeAutospacing="0" w:after="0" w:afterAutospacing="0" w:line="345" w:lineRule="atLeast"/>
        <w:rPr>
          <w:rFonts w:asciiTheme="minorHAnsi" w:hAnsiTheme="minorHAnsi" w:cstheme="minorHAnsi"/>
          <w:color w:val="3C3C3C"/>
        </w:rPr>
      </w:pPr>
      <w:r w:rsidRPr="000E0708">
        <w:rPr>
          <w:rFonts w:asciiTheme="minorHAnsi" w:hAnsiTheme="minorHAnsi" w:cstheme="minorHAnsi"/>
          <w:color w:val="3C3C3C"/>
        </w:rPr>
        <w:t>Work is to be regarded as commenced when 15% of the work is completed.</w:t>
      </w:r>
    </w:p>
    <w:p w14:paraId="51B883AE" w14:textId="77777777" w:rsidR="000E0708" w:rsidRPr="000E0708" w:rsidRDefault="000E0708" w:rsidP="000E0708">
      <w:pPr>
        <w:pStyle w:val="NormalWeb"/>
        <w:shd w:val="clear" w:color="auto" w:fill="FFFFFF"/>
        <w:spacing w:before="0" w:beforeAutospacing="0" w:after="0" w:afterAutospacing="0" w:line="345" w:lineRule="atLeast"/>
        <w:rPr>
          <w:rFonts w:asciiTheme="minorHAnsi" w:hAnsiTheme="minorHAnsi" w:cstheme="minorHAnsi"/>
          <w:color w:val="3C3C3C"/>
        </w:rPr>
      </w:pPr>
    </w:p>
    <w:p w14:paraId="2EA08C5E" w14:textId="77777777" w:rsidR="000E0708" w:rsidRPr="000E0708" w:rsidRDefault="000E0708" w:rsidP="000E0708">
      <w:pPr>
        <w:pStyle w:val="NormalWeb"/>
        <w:shd w:val="clear" w:color="auto" w:fill="FFFFFF"/>
        <w:spacing w:before="0" w:beforeAutospacing="0" w:after="0" w:afterAutospacing="0" w:line="345" w:lineRule="atLeast"/>
        <w:rPr>
          <w:rFonts w:asciiTheme="minorHAnsi" w:hAnsiTheme="minorHAnsi" w:cstheme="minorHAnsi"/>
        </w:rPr>
      </w:pPr>
      <w:r w:rsidRPr="000E0708">
        <w:rPr>
          <w:rStyle w:val="Strong"/>
          <w:rFonts w:asciiTheme="minorHAnsi" w:hAnsiTheme="minorHAnsi" w:cstheme="minorHAnsi"/>
          <w:color w:val="3C3C3C"/>
        </w:rPr>
        <w:t>Commencement of Complex Buildings</w:t>
      </w:r>
    </w:p>
    <w:p w14:paraId="6035CA0A"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When the foundations supporting the building and the structure of the lowest floor level of that building (but not the other buildings or structures to be supported by those foundations) are completed.</w:t>
      </w:r>
    </w:p>
    <w:p w14:paraId="0A94BDF3" w14:textId="77777777" w:rsidR="000E0708" w:rsidRPr="000E0708" w:rsidRDefault="000E0708" w:rsidP="000E0708">
      <w:pPr>
        <w:rPr>
          <w:rFonts w:asciiTheme="minorHAnsi" w:hAnsiTheme="minorHAnsi" w:cstheme="minorHAnsi"/>
        </w:rPr>
      </w:pPr>
    </w:p>
    <w:p w14:paraId="0747BE5D" w14:textId="77777777" w:rsidR="000E0708" w:rsidRPr="000E0708" w:rsidRDefault="000E0708" w:rsidP="000E0708">
      <w:pPr>
        <w:rPr>
          <w:rFonts w:asciiTheme="minorHAnsi" w:hAnsiTheme="minorHAnsi" w:cstheme="minorHAnsi"/>
        </w:rPr>
      </w:pPr>
      <w:r w:rsidRPr="000E0708">
        <w:rPr>
          <w:rStyle w:val="Strong"/>
          <w:rFonts w:asciiTheme="minorHAnsi" w:hAnsiTheme="minorHAnsi" w:cstheme="minorHAnsi"/>
          <w:color w:val="3C3C3C"/>
        </w:rPr>
        <w:t>Definition of Complex Building:</w:t>
      </w:r>
    </w:p>
    <w:p w14:paraId="665EBA45"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(a) a building which is to be constructed on the same foundation plinth or podium as any other building or </w:t>
      </w:r>
      <w:proofErr w:type="gramStart"/>
      <w:r w:rsidRPr="000E0708">
        <w:rPr>
          <w:rFonts w:asciiTheme="minorHAnsi" w:hAnsiTheme="minorHAnsi" w:cstheme="minorHAnsi"/>
        </w:rPr>
        <w:t>structure;</w:t>
      </w:r>
      <w:proofErr w:type="gramEnd"/>
    </w:p>
    <w:p w14:paraId="5B1CC3A7"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(b) a building which has more than one storey below ground </w:t>
      </w:r>
      <w:proofErr w:type="gramStart"/>
      <w:r w:rsidRPr="000E0708">
        <w:rPr>
          <w:rFonts w:asciiTheme="minorHAnsi" w:hAnsiTheme="minorHAnsi" w:cstheme="minorHAnsi"/>
        </w:rPr>
        <w:t>level;</w:t>
      </w:r>
      <w:proofErr w:type="gramEnd"/>
    </w:p>
    <w:p w14:paraId="798ACEA8"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(c) a building where it is proposed use is primarily as a public building where the public or a section of the public has access to the building (whether or not on payment) provided that the building has a capacity for 100 or more </w:t>
      </w:r>
      <w:proofErr w:type="gramStart"/>
      <w:r w:rsidRPr="000E0708">
        <w:rPr>
          <w:rFonts w:asciiTheme="minorHAnsi" w:hAnsiTheme="minorHAnsi" w:cstheme="minorHAnsi"/>
        </w:rPr>
        <w:t>visitors;</w:t>
      </w:r>
      <w:proofErr w:type="gramEnd"/>
    </w:p>
    <w:p w14:paraId="5D26FFEF" w14:textId="77777777" w:rsidR="000E0708" w:rsidRPr="000E0708" w:rsidRDefault="000E0708" w:rsidP="000E0708">
      <w:pPr>
        <w:rPr>
          <w:rStyle w:val="Strong"/>
          <w:rFonts w:asciiTheme="minorHAnsi" w:hAnsiTheme="minorHAnsi" w:cstheme="minorHAnsi"/>
          <w:color w:val="3C3C3C"/>
        </w:rPr>
      </w:pPr>
    </w:p>
    <w:p w14:paraId="3C356C3C" w14:textId="77777777" w:rsidR="000E0708" w:rsidRPr="000E0708" w:rsidRDefault="000E0708" w:rsidP="000E0708">
      <w:pPr>
        <w:rPr>
          <w:rFonts w:asciiTheme="minorHAnsi" w:hAnsiTheme="minorHAnsi" w:cstheme="minorHAnsi"/>
        </w:rPr>
      </w:pPr>
      <w:r w:rsidRPr="000E0708">
        <w:rPr>
          <w:rStyle w:val="Strong"/>
          <w:rFonts w:asciiTheme="minorHAnsi" w:hAnsiTheme="minorHAnsi" w:cstheme="minorHAnsi"/>
          <w:color w:val="3C3C3C"/>
        </w:rPr>
        <w:t>Definition of Public Building:</w:t>
      </w:r>
    </w:p>
    <w:p w14:paraId="68860FAA"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(a) a shop or shopping </w:t>
      </w:r>
      <w:proofErr w:type="gramStart"/>
      <w:r w:rsidRPr="000E0708">
        <w:rPr>
          <w:rFonts w:asciiTheme="minorHAnsi" w:hAnsiTheme="minorHAnsi" w:cstheme="minorHAnsi"/>
        </w:rPr>
        <w:t>centre;</w:t>
      </w:r>
      <w:proofErr w:type="gramEnd"/>
    </w:p>
    <w:p w14:paraId="7A13CCBD"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(b) premises where food or drink are sold for consumption on the premises, including a nightclub, social club or dance </w:t>
      </w:r>
      <w:proofErr w:type="gramStart"/>
      <w:r w:rsidRPr="000E0708">
        <w:rPr>
          <w:rFonts w:asciiTheme="minorHAnsi" w:hAnsiTheme="minorHAnsi" w:cstheme="minorHAnsi"/>
        </w:rPr>
        <w:t>hall;</w:t>
      </w:r>
      <w:proofErr w:type="gramEnd"/>
    </w:p>
    <w:p w14:paraId="64A262A6"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(c) a stadium, theatre, cinema, concert </w:t>
      </w:r>
      <w:proofErr w:type="gramStart"/>
      <w:r w:rsidRPr="000E0708">
        <w:rPr>
          <w:rFonts w:asciiTheme="minorHAnsi" w:hAnsiTheme="minorHAnsi" w:cstheme="minorHAnsi"/>
        </w:rPr>
        <w:t>hall;</w:t>
      </w:r>
      <w:proofErr w:type="gramEnd"/>
    </w:p>
    <w:p w14:paraId="44AF5B0A"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(d) a </w:t>
      </w:r>
      <w:proofErr w:type="gramStart"/>
      <w:r w:rsidRPr="000E0708">
        <w:rPr>
          <w:rFonts w:asciiTheme="minorHAnsi" w:hAnsiTheme="minorHAnsi" w:cstheme="minorHAnsi"/>
        </w:rPr>
        <w:t>sports</w:t>
      </w:r>
      <w:proofErr w:type="gramEnd"/>
      <w:r w:rsidRPr="000E0708">
        <w:rPr>
          <w:rFonts w:asciiTheme="minorHAnsi" w:hAnsiTheme="minorHAnsi" w:cstheme="minorHAnsi"/>
        </w:rPr>
        <w:t xml:space="preserve"> ground;</w:t>
      </w:r>
    </w:p>
    <w:p w14:paraId="16445538"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 xml:space="preserve">(e) an exhibition hall or conference </w:t>
      </w:r>
      <w:proofErr w:type="gramStart"/>
      <w:r w:rsidRPr="000E0708">
        <w:rPr>
          <w:rFonts w:asciiTheme="minorHAnsi" w:hAnsiTheme="minorHAnsi" w:cstheme="minorHAnsi"/>
        </w:rPr>
        <w:t>centre;</w:t>
      </w:r>
      <w:proofErr w:type="gramEnd"/>
    </w:p>
    <w:p w14:paraId="5685FCDD" w14:textId="77777777" w:rsidR="000E0708" w:rsidRPr="000E0708" w:rsidRDefault="000E0708" w:rsidP="000E0708">
      <w:pPr>
        <w:rPr>
          <w:rFonts w:asciiTheme="minorHAnsi" w:hAnsiTheme="minorHAnsi" w:cstheme="minorHAnsi"/>
        </w:rPr>
      </w:pPr>
      <w:r w:rsidRPr="000E0708">
        <w:rPr>
          <w:rFonts w:asciiTheme="minorHAnsi" w:hAnsiTheme="minorHAnsi" w:cstheme="minorHAnsi"/>
        </w:rPr>
        <w:t>(f) a hospital or premises for the provision of health care.</w:t>
      </w:r>
    </w:p>
    <w:p w14:paraId="3D1D6156" w14:textId="7067BF76" w:rsidR="005D0567" w:rsidRPr="000E0708" w:rsidRDefault="005D0567" w:rsidP="000E0708">
      <w:pPr>
        <w:spacing w:after="160" w:line="259" w:lineRule="auto"/>
        <w:rPr>
          <w:rFonts w:asciiTheme="minorHAnsi" w:hAnsiTheme="minorHAnsi" w:cstheme="minorHAnsi"/>
          <w:b/>
          <w:bCs/>
          <w:color w:val="3C3C3C"/>
        </w:rPr>
      </w:pPr>
    </w:p>
    <w:sectPr w:rsidR="005D0567" w:rsidRPr="000E07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D2"/>
    <w:rsid w:val="000E0708"/>
    <w:rsid w:val="0011602E"/>
    <w:rsid w:val="00146B9B"/>
    <w:rsid w:val="002C578D"/>
    <w:rsid w:val="00371927"/>
    <w:rsid w:val="004638D2"/>
    <w:rsid w:val="004E2049"/>
    <w:rsid w:val="00570E99"/>
    <w:rsid w:val="005D0567"/>
    <w:rsid w:val="00A57322"/>
    <w:rsid w:val="00DF6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C88A"/>
  <w15:chartTrackingRefBased/>
  <w15:docId w15:val="{378DF605-8905-4337-B769-FB6E046D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E9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p2paratext">
    <w:name w:val="legp2paratext"/>
    <w:basedOn w:val="Normal"/>
    <w:rsid w:val="005D0567"/>
    <w:pPr>
      <w:spacing w:before="100" w:beforeAutospacing="1" w:after="100" w:afterAutospacing="1"/>
    </w:pPr>
    <w:rPr>
      <w:rFonts w:ascii="Calibri" w:eastAsiaTheme="minorHAnsi" w:hAnsi="Calibri" w:cs="Calibri"/>
      <w:sz w:val="22"/>
      <w:szCs w:val="22"/>
    </w:rPr>
  </w:style>
  <w:style w:type="character" w:customStyle="1" w:styleId="legamendingtext">
    <w:name w:val="legamendingtext"/>
    <w:basedOn w:val="DefaultParagraphFont"/>
    <w:rsid w:val="005D0567"/>
  </w:style>
  <w:style w:type="paragraph" w:styleId="NormalWeb">
    <w:name w:val="Normal (Web)"/>
    <w:basedOn w:val="Normal"/>
    <w:uiPriority w:val="99"/>
    <w:unhideWhenUsed/>
    <w:rsid w:val="00A57322"/>
    <w:pPr>
      <w:spacing w:before="100" w:beforeAutospacing="1" w:after="100" w:afterAutospacing="1"/>
    </w:pPr>
  </w:style>
  <w:style w:type="character" w:styleId="Strong">
    <w:name w:val="Strong"/>
    <w:basedOn w:val="DefaultParagraphFont"/>
    <w:uiPriority w:val="22"/>
    <w:qFormat/>
    <w:rsid w:val="00A57322"/>
    <w:rPr>
      <w:b/>
      <w:bCs/>
    </w:rPr>
  </w:style>
  <w:style w:type="paragraph" w:styleId="NoSpacing">
    <w:name w:val="No Spacing"/>
    <w:uiPriority w:val="1"/>
    <w:qFormat/>
    <w:rsid w:val="00A57322"/>
    <w:pPr>
      <w:spacing w:after="0"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91284">
      <w:bodyDiv w:val="1"/>
      <w:marLeft w:val="0"/>
      <w:marRight w:val="0"/>
      <w:marTop w:val="0"/>
      <w:marBottom w:val="0"/>
      <w:divBdr>
        <w:top w:val="none" w:sz="0" w:space="0" w:color="auto"/>
        <w:left w:val="none" w:sz="0" w:space="0" w:color="auto"/>
        <w:bottom w:val="none" w:sz="0" w:space="0" w:color="auto"/>
        <w:right w:val="none" w:sz="0" w:space="0" w:color="auto"/>
      </w:divBdr>
    </w:div>
    <w:div w:id="18908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E5E6465AC324AB2252B760468521C" ma:contentTypeVersion="12" ma:contentTypeDescription="Create a new document." ma:contentTypeScope="" ma:versionID="618996b67eb2496d3bd01f1847444d37">
  <xsd:schema xmlns:xsd="http://www.w3.org/2001/XMLSchema" xmlns:xs="http://www.w3.org/2001/XMLSchema" xmlns:p="http://schemas.microsoft.com/office/2006/metadata/properties" xmlns:ns2="ea1a0244-7a16-478f-a261-47aa42dfa66e" xmlns:ns3="b0644ed8-ed7f-4855-83fa-83fe981cfe63" targetNamespace="http://schemas.microsoft.com/office/2006/metadata/properties" ma:root="true" ma:fieldsID="570a5c608c976bc77b4d4f80d36e4350" ns2:_="" ns3:_="">
    <xsd:import namespace="ea1a0244-7a16-478f-a261-47aa42dfa66e"/>
    <xsd:import namespace="b0644ed8-ed7f-4855-83fa-83fe981cfe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a0244-7a16-478f-a261-47aa42dfa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44ed8-ed7f-4855-83fa-83fe981cfe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1e3682d-97cb-4ef3-9ae7-dfbd6297bcfa}" ma:internalName="TaxCatchAll" ma:showField="CatchAllData" ma:web="b0644ed8-ed7f-4855-83fa-83fe981cfe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0644ed8-ed7f-4855-83fa-83fe981cfe63" xsi:nil="true"/>
    <lcf76f155ced4ddcb4097134ff3c332f xmlns="ea1a0244-7a16-478f-a261-47aa42dfa6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418AD-AAD3-40B9-9043-44C897033AD9}"/>
</file>

<file path=customXml/itemProps2.xml><?xml version="1.0" encoding="utf-8"?>
<ds:datastoreItem xmlns:ds="http://schemas.openxmlformats.org/officeDocument/2006/customXml" ds:itemID="{672548E3-9228-4E24-95A8-A15473D63DD7}">
  <ds:schemaRefs>
    <ds:schemaRef ds:uri="http://schemas.microsoft.com/office/2006/metadata/properties"/>
    <ds:schemaRef ds:uri="fcf08796-32f5-405f-822a-f2afb2095aac"/>
    <ds:schemaRef ds:uri="http://purl.org/dc/terms/"/>
    <ds:schemaRef ds:uri="http://schemas.microsoft.com/office/2006/documentManagement/types"/>
    <ds:schemaRef ds:uri="e8d14d47-510b-402f-bc34-160f120ac875"/>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01924A9-2A81-4D3B-82F8-BE0485E92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2024-02-14T12:19:00Z</dcterms:created>
  <dcterms:modified xsi:type="dcterms:W3CDTF">2024-02-14T12:19:00Z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0x010100C2CE5E6465AC324AB2252B760468521C</vt:lpwstr>
  </property>
  <property fmtid="{D5CDD505-2E9C-101B-9397-08002B2CF9AE}" pid="3" name="MediaServiceImageTags">
    <vt:lpwstr/>
  </property>
</Properties>
</file>